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5" w:history="1">
        <w:r>
          <w:rPr>
            <w:rFonts w:ascii="Arial" w:hAnsi="Arial" w:eastAsia="Arial" w:cs="Arial"/>
            <w:color w:val="155CAA"/>
            <w:u w:val="single"/>
          </w:rPr>
          <w:t xml:space="preserve">1 Beantwoording vragen CDA inzake zorgvilla Spijkse Kweldijk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5"/>
      <w:r w:rsidRPr="00A448AC">
        <w:rPr>
          <w:rFonts w:ascii="Arial" w:hAnsi="Arial" w:cs="Arial"/>
          <w:b/>
          <w:bCs/>
          <w:color w:val="303F4C"/>
          <w:lang w:val="en-US"/>
        </w:rPr>
        <w:t>Beantwoording vragen CDA inzake zorgvilla Spijkse Kweldijk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inzake zorgvilla Spijkse Kweldijk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20180213P.aangehouden principeverzoek zorgvilla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20180313P.BW-besluit principetoestemming woonzorgvilla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20180319P.principetoestemming initiatief particuliere zorgvilla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Bijlage/Beantwoording-vragen-CDA-inzake-zorgvilla-Spijkse-Kweldijk.pdf" TargetMode="External" /><Relationship Id="rId25" Type="http://schemas.openxmlformats.org/officeDocument/2006/relationships/hyperlink" Target="https://gemeenteraad.westbetuwe.nl//Raadsinformatie/Bijlage/20180213P-aangehouden-principeverzoek-zorgvilla.pdf" TargetMode="External" /><Relationship Id="rId26" Type="http://schemas.openxmlformats.org/officeDocument/2006/relationships/hyperlink" Target="https://gemeenteraad.westbetuwe.nl//Raadsinformatie/Bijlage/20180313P-BW-besluit-principetoestemming-woonzorgvilla.pdf" TargetMode="External" /><Relationship Id="rId27" Type="http://schemas.openxmlformats.org/officeDocument/2006/relationships/hyperlink" Target="https://gemeenteraad.westbetuwe.nl//Raadsinformatie/Bijlage/20180319P-principetoestemming-initiatief-particuliere-zorgvill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