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7" w:history="1">
        <w:r>
          <w:rPr>
            <w:rFonts w:ascii="Arial" w:hAnsi="Arial" w:eastAsia="Arial" w:cs="Arial"/>
            <w:color w:val="155CAA"/>
            <w:u w:val="single"/>
          </w:rPr>
          <w:t xml:space="preserve">1 20251120 Vragen GroenLinks en PvdA Zeek en motie bospercelen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7"/>
      <w:r w:rsidRPr="00A448AC">
        <w:rPr>
          <w:rFonts w:ascii="Arial" w:hAnsi="Arial" w:cs="Arial"/>
          <w:b/>
          <w:bCs/>
          <w:color w:val="303F4C"/>
          <w:lang w:val="en-US"/>
        </w:rPr>
        <w:t>20251120 Vragen GroenLinks en PvdA Zeek en motie bospercelen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20251120-vragen-gl-pvda-zeek-en-motie-bospercelen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20251120-bijlage-groenlinks-pvda-antwoord-vragen-lid-wassenberg-over-de-uitverkoop-van-natuurgebieden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1120-vragen-gl-pvda-zeek-en-motie-bospercelen.pdf" TargetMode="External" /><Relationship Id="rId25" Type="http://schemas.openxmlformats.org/officeDocument/2006/relationships/hyperlink" Target="https://gemeenteraad.westbetuwe.nl//Raadsinformatie/20251120-bijlage-groenlinks-pvda-antwoord-vragen-lid-wassenberg-over-de-uitverkoop-van-natuurgebie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