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6" w:history="1">
        <w:r>
          <w:rPr>
            <w:rFonts w:ascii="Arial" w:hAnsi="Arial" w:eastAsia="Arial" w:cs="Arial"/>
            <w:color w:val="155CAA"/>
            <w:u w:val="single"/>
          </w:rPr>
          <w:t xml:space="preserve">1 20251120 Beantwoording vragen Verenigd West Betuwe Bloesemtocht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6"/>
      <w:r w:rsidRPr="00A448AC">
        <w:rPr>
          <w:rFonts w:ascii="Arial" w:hAnsi="Arial" w:cs="Arial"/>
          <w:b/>
          <w:bCs/>
          <w:color w:val="303F4C"/>
          <w:lang w:val="en-US"/>
        </w:rPr>
        <w:t>20251120 Beantwoording vragen Verenigd West Betuwe Bloesemtocht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20251107-vragen-vwb-bloesemtocht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20251120-beantwoording-vragen-vwb-bloesemtocht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07-vragen-vwb-bloesemtocht.pdf" TargetMode="External" /><Relationship Id="rId25" Type="http://schemas.openxmlformats.org/officeDocument/2006/relationships/hyperlink" Target="https://gemeenteraad.westbetuwe.nl//Raadsinformatie/20251120-beantwoording-vragen-vwb-bloesemto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