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4" w:history="1">
        <w:r>
          <w:rPr>
            <w:rFonts w:ascii="Arial" w:hAnsi="Arial" w:eastAsia="Arial" w:cs="Arial"/>
            <w:color w:val="155CAA"/>
            <w:u w:val="single"/>
          </w:rPr>
          <w:t xml:space="preserve">1 20240522 Beantwoording vragen CDA en SGP Navolging intentieovereenkomst fusie vv Beesd en rvv Rhelico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4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CDA en SGP Navolging intentieovereenkomst fusie vv Beesd en rvv Rhelico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20240522-Beantwoording-vragen-van-de-raad-Navolging-intentieovereenkomst-fusie-vv-Beesd-en-rvv-Rhelico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22-Beantwoording-vragen-van-de-raad-Navolging-intentieovereenkomst-fusie-vv-Beesd-en-rvv-Rhelic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