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5" w:history="1">
        <w:r>
          <w:rPr>
            <w:rFonts w:ascii="Arial" w:hAnsi="Arial" w:eastAsia="Arial" w:cs="Arial"/>
            <w:color w:val="155CAA"/>
            <w:u w:val="single"/>
          </w:rPr>
          <w:t xml:space="preserve">1 20240419 Beantwoording vragen LLB en SGP Water- en rioleringsprogramma 2025-2029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5"/>
      <w:r w:rsidRPr="00A448AC">
        <w:rPr>
          <w:rFonts w:ascii="Arial" w:hAnsi="Arial" w:cs="Arial"/>
          <w:b/>
          <w:bCs/>
          <w:color w:val="303F4C"/>
          <w:lang w:val="en-US"/>
        </w:rPr>
        <w:t>20240419 Beantwoording vragen LLB en SGP Water- en rioleringsprogramma 2025-2029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20210419-Beantwoording-vragen-LLB-en-SGP-Water-en-rioleringsprogramma-2025-2029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10419-Beantwoording-vragen-LLB-en-SGP-Water-en-rioleringsprogramma-2025-2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