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6" text:style-name="Internet_20_link" text:visited-style-name="Visited_20_Internet_20_Link">
              <text:span text:style-name="ListLabel_20_28">
                <text:span text:style-name="T8">1 2020-034 Beantwoording schriftelijke vragen DB inzake Avri (ook gesteld in de extra raadsvergadering van 12-11-2020)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6"/>
        2020-034 Beantwoording schriftelijke vragen DB inzake Avri (ook gesteld in de extra raadsvergadering van 12-11-2020)
        <text:bookmark-end text:name="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2020-034 Beantwoording schriftelijke vragen DB inzake Avri (ook gesteld in de extra raadsvergadering van 12-11-2020)
              <text:span text:style-name="T3"/>
            </text:p>
            <text:p text:style-name="P7"/>
          </table:table-cell>
          <table:table-cell table:style-name="Table4.A2" office:value-type="string">
            <text:p text:style-name="P8">03-02-2021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297,61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2020-034-Beantwoording-schriftelijke-vragen-DB-inzake-Avri-ook-gesteld-in-de-extra-raadsvergadering-van-12-1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2020-034 Schriftelijke vragen DB Avri 12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211,48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Schriftelijke-vragen-DB-Avri-12-nov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1" meta:character-count="681" meta:non-whitespace-character-count="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