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29" text:style-name="Internet_20_link" text:visited-style-name="Visited_20_Internet_20_Link">
              <text:span text:style-name="ListLabel_20_28">
                <text:span text:style-name="T8">1 RV2025-117 Beheerplan Gebouwen 2026-2035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9"/>
        RV2025-117 Beheerplan Gebouwen 2026-2035
        <text:bookmark-end text:name="25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23-10-2025 21:57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RB2025-117-beheerplan-gebouwen-2026-2035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89,98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5-117-beheerplan-gebouwen-2026-203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RV2025-117-beheerplan-gebouwen-2026-2035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106,19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17-beheerplan-gebouwen-2026-203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RV2025-117-bijlage-1-beleid-beheerplan-gebouwen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215,95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17-bijlage-1-beleid-beheerplan-gebouw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RV2025-117-bijlage-2-financieel-overzicht-exploitatie-en-bestemmingsreserve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44,45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17-bijlage-2-financieel-overzicht-exploitatie-en-bestemmingsreserv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RV2025-117-bijlage-3-lijst-gebouwen-gemeentelijk-eigendom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76,49 KB
            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17-bijlage-3-lijst-gebouwen-gemeentelijk-eigend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78" meta:character-count="719" meta:non-whitespace-character-count="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