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00:15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67" text:style-name="Internet_20_link" text:visited-style-name="Visited_20_Internet_20_Link">
              <text:span text:style-name="ListLabel_20_28">
                <text:span text:style-name="T8">1 RV2025-096 kostenverdeelsleutel VRGZ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67"/>
        RV2025-096 kostenverdeelsleutel VRGZ
        <text:bookmark-end text:name="246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03-09-2025 15:51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RV2025-096-bijlage-eindrapport-kostenverdeelsleutel-VRGZ-geanonimiseerd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3,83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96-bijlage-eindrapport-kostenverdeelsleutel-VRGZ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RV2025-096-zienswijze-kostenverdeelsystemathiek-VRGZ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145,16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96-zienswijze-kostenverdeelsystemathiek-VRGZ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RB2025-096-zienswijze-kostenverdeelsystemathiek-VRGZ
              <text:span text:style-name="T3"/>
            </text:p>
            <text:p text:style-name="P7"/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98,94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096-zienswijze-kostenverdeelsystemathiek-VRGZ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RV2025-096-bijlage-brief-zienswijzen-wijzigen-kostenverdeelsleutel-VRGZ-geanonimiseerd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03-09-2025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304,67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096-bijlage-brief-zienswijzen-wijzigen-kostenverdeelsleutel-VRGZ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2" meta:paragraph-count="45" meta:word-count="69" meta:character-count="682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