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8" w:history="1">
        <w:r>
          <w:rPr>
            <w:rFonts w:ascii="Arial" w:hAnsi="Arial" w:eastAsia="Arial" w:cs="Arial"/>
            <w:color w:val="155CAA"/>
            <w:u w:val="single"/>
          </w:rPr>
          <w:t xml:space="preserve">1 RV2025-088 Toelating en beëdiging raadslid PvdA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8"/>
      <w:r w:rsidRPr="00A448AC">
        <w:rPr>
          <w:rFonts w:ascii="Arial" w:hAnsi="Arial" w:cs="Arial"/>
          <w:b/>
          <w:bCs/>
          <w:color w:val="303F4C"/>
          <w:lang w:val="en-US"/>
        </w:rPr>
        <w:t>RV2025-088 Toelating en beëdiging raadslid PvdA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 18:51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RV2025-088 toelating raadslid PvdA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RB2025-088-toelating-raadslid-A-M-IJff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88-toelating-raadslid-PvdA.pdf" TargetMode="External" /><Relationship Id="rId25" Type="http://schemas.openxmlformats.org/officeDocument/2006/relationships/hyperlink" Target="https://gemeenteraad.westbetuwe.nl//Raadsinformatie/RB2025-088-toelating-raadslid-A-M-IJf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