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93" text:style-name="Internet_20_link" text:visited-style-name="Visited_20_Internet_20_Link">
              <text:span text:style-name="ListLabel_20_28">
                <text:span text:style-name="T8">1 RV2025-065 Jaarstukken 2024 en begroting 2026 regio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93"/>
        RV2025-065 Jaarstukken 2024 en begroting 2026 regio rivierenland
        <text:bookmark-end text:name="23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29-05-2025 00:59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RB2025-065-jaarstukken-2024-en-begroting-2026-regio-rivierenland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42,48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065-jaarstukken-2024-en-begroting-2026-regio-rivier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RV2025-065-jaarstukken-2024-en-begroting-2026-regio-rivierenland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106,27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5-jaarstukken-2024-en-begroting-2026-regio-rivieren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RV2025-065-bijlage-1-brief-zienswijzen-jaarstukken-2024-voor-gemeenten-geanonimiseerd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619,67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5-bijlage-1-brief-zienswijzen-jaarstukken-2024-voor-gemeent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RV2025-065-bijlage-2-concept-jaarstukken-rivierenland-2024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1,78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5-bijlage-2-concept-jaarstukken-rivierenland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RV2025-065-bijlage-3-visuele-jaarrekening-2024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150,78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5-bijlage-3-visuele-jaarrekening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RV2025-065-bijlage-4-brief-zienswijzen-programmabegroting-2026-voor-gemeenten-geanonimiseerd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653,86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5-bijlage-4-brief-zienswijzen-programmabegroting-2026-voor-gemeent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RV2025-065-bijlage-5-concept-programmabegroting-2026-regio-rivierenland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5-bijlage-5-concept-programmabegroting-2026-regio-rivieren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RV2025-065-bijlage-6-visuele-programmabegroting-2026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149,40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5-bijlage-6-visuele-programmabegroting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RV2025-065-bijlage-7-taken-regio-rivierenland-versie-begroting-2026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645,89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5-bijlage-7-taken-regio-rivierenland-versie-begroting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RV2025-065-bijlage-8-memo-budgetverdeling-contractgestuurde-diensten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138,01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5-bijlage-8-memo-budgetverdeling-contractgestuurde-diens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RV2025-065-bijlage-9-overzicht-van-ingekomen-zienswijzen-kaderbrief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437,75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5-bijlage-9-overzicht-van-ingekomen-zienswijzen-kaderbr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RV2025-065-bijlage-10-concept-zienswijzebrief-regio-rivierenland-geanonimiseerd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1.005,12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5-bijlage-10-concept-zienswijzebrief-regio-rivierenland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135" meta:character-count="1542" meta:non-whitespace-character-count="1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