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85" text:style-name="Internet_20_link" text:visited-style-name="Visited_20_Internet_20_Link">
              <text:span text:style-name="ListLabel_20_28">
                <text:span text:style-name="T8">1 RV2025-037 Vaststellen wijzigingsbesluit Verordening maatschappelijke ondersteuning en jeugdhulp West Betuwe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85"/>
        RV2025-037 Vaststellen wijzigingsbesluit Verordening maatschappelijke ondersteuning en jeugdhulp West Betuwe 2025
        <text:bookmark-end text:name="228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22-04-2025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21-03-2025 11:08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RB2025-037-verordening-maatschappelijke-ondersteuning-jeugdhulp
              <text:span text:style-name="T3"/>
            </text:p>
            <text:p text:style-name="P7"/>
          </table:table-cell>
          <table:table-cell table:style-name="Table5.A2" office:value-type="string">
            <text:p text:style-name="P8">21-03-2025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36,27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037-verordening-maatschappelijke-ondersteuning-jeugdhulp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RV2025-037-verordening-maatschappelijke-ondersteuning-jeugdhulp
              <text:span text:style-name="T3"/>
            </text:p>
            <text:p text:style-name="P7"/>
          </table:table-cell>
          <table:table-cell table:style-name="Table5.A2" office:value-type="string">
            <text:p text:style-name="P8">21-03-2025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134,21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37-verordening-maatschappelijke-ondersteuning-jeugdhulp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77" meta:character-count="705" meta:non-whitespace-character-count="6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