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1" text:style-name="Internet_20_link" text:visited-style-name="Visited_20_Internet_20_Link">
              <text:span text:style-name="ListLabel_20_28">
                <text:span text:style-name="T8">1 RV2025-012 Kadernota Belastingsamenwerking Rivierenland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1"/>
        RV2025-012 Kadernota Belastingsamenwerking Rivierenland 2026
        <text:bookmark-end text:name="22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23-01-2025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RV2025-012-kadernota-belastingsamenwerking-rivierenland-2026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2-kadernota-belastingsamenwerking-rivierenland-20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RB2025-012-kadernota-belastingsamenwerking-rivierenland-2026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12-kadernota-belastingsamenwerking-rivierenland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RV2025-012-bijlage-1-notitie-kostenbeheersing-bsr-2025-2027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2-bijlage-1-notitie-kostenbeheersing-bsr-2025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RV2025-012-bijlage-2-kadernota-bsr-2026-2029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729,51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2-bijlage-2-kadernota-bsr-2026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RV2025-012-bijlage-3-zienswijze-kadernota-belastingsamenwerking-rivierenland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2-bijlage-3-zienswijze-kadernota-belastingsamenwerking-riviere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86" meta:character-count="863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