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1" w:history="1">
        <w:r>
          <w:rPr>
            <w:rFonts w:ascii="Arial" w:hAnsi="Arial" w:eastAsia="Arial" w:cs="Arial"/>
            <w:color w:val="155CAA"/>
            <w:u w:val="single"/>
          </w:rPr>
          <w:t xml:space="preserve">1 RV2025-002 Algemene plaatselijke verordening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1"/>
      <w:r w:rsidRPr="00A448AC">
        <w:rPr>
          <w:rFonts w:ascii="Arial" w:hAnsi="Arial" w:cs="Arial"/>
          <w:b/>
          <w:bCs/>
          <w:color w:val="303F4C"/>
          <w:lang w:val="en-US"/>
        </w:rPr>
        <w:t>RV2025-002 Algemene plaatselijke verordening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RV2025-002-algemene-plaatselijke-verordening-gemeente-west-betuwe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Raad-28-01-2025-Besluit-RV2025-002; Algemene-plaatselijke-verordening-gemeente-west-betuwe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RV2025-002-bijlage-1-was-wordt-tabel-apv-wijzigingen-en-toevoegingen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02-algemene-plaatselijke-verordening-gemeente-west-betuwe-1.pdf" TargetMode="External" /><Relationship Id="rId25" Type="http://schemas.openxmlformats.org/officeDocument/2006/relationships/hyperlink" Target="https://gemeenteraad.westbetuwe.nl//Raadsinformatie/Raad-28-01-2025-Besluit-RV2025-002-Algemene-plaatselijke-verordening-gemeente-west-betuwe.pdf" TargetMode="External" /><Relationship Id="rId26" Type="http://schemas.openxmlformats.org/officeDocument/2006/relationships/hyperlink" Target="https://gemeenteraad.westbetuwe.nl//Raadsinformatie/RV2025-002-bijlage-1-was-wordt-tabel-apv-wijzigingen-en-toevoe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