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4" w:history="1">
        <w:r>
          <w:rPr>
            <w:rFonts w:ascii="Arial" w:hAnsi="Arial" w:eastAsia="Arial" w:cs="Arial"/>
            <w:color w:val="155CAA"/>
            <w:u w:val="single"/>
          </w:rPr>
          <w:t xml:space="preserve">1 RV2024-145 Derde verlenging overeenkomst Deloitte Accountants BV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4"/>
      <w:r w:rsidRPr="00A448AC">
        <w:rPr>
          <w:rFonts w:ascii="Arial" w:hAnsi="Arial" w:cs="Arial"/>
          <w:b/>
          <w:bCs/>
          <w:color w:val="303F4C"/>
          <w:lang w:val="en-US"/>
        </w:rPr>
        <w:t>RV2024-145 Derde verlenging overeenkomst Deloitte Accountants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RV2024-145-derde-verlenging-overeenkomst-deloitte-accountants-bv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RB2024-145-derde-verlenging-overeenkomst-deloitte-accountants-bv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45-derde-verlenging-overeenkomst-deloitte-accountants-bv-1.pdf" TargetMode="External" /><Relationship Id="rId25" Type="http://schemas.openxmlformats.org/officeDocument/2006/relationships/hyperlink" Target="https://gemeenteraad.westbetuwe.nl//Raadsinformatie/RB2024-145-derde-verlenging-overeenkomst-deloitte-accountants-b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