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53" text:style-name="Internet_20_link" text:visited-style-name="Visited_20_Internet_20_Link">
              <text:span text:style-name="ListLabel_20_28">
                <text:span text:style-name="T8">1 RV2024-144 Wijziging gemeenschappelijke regeling Rekenkamer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3"/>
        RV2024-144 Wijziging gemeenschappelijke regeling Rekenkamer Rivierenland
        <text:bookmark-end text:name="21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17-12-2024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22-11-2024 14:21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RV2024-144-toetreden-gemeente-West-Maas-en-Waal-GR-Rekenkamer-Rivierenland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44-toetreden-gemeente-West-Maas-en-Waal-GR-Rekenkamer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RB2024-144-toetreden-west-maas-en-waal-rekenkamer-rivierenland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41,83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4-144-toetreden-west-maas-en-waal-rekenkamer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RV2024-144-bijlage-1-besluit-west-maas-en-waal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44-bijlage-1-besluit-west-maas-en-w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RV2024-144-bijlage-2-Gemeenschappelijke-Regeling-Rekenkamer-Rivierenland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44-bijlage-2-Gemeenschappelijke-Regeling-Rekenkamer-Rivieren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RV2024-144-bijlage-3-was-wordt-tabel-wijziging-GR-rekenkamer-Rivierenland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22-11-2024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144-bijlage-3-was-wordt-tabel-wijziging-GR-rekenkamer-Rivieren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88" meta:character-count="915" meta:non-whitespace-character-count="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