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4" w:history="1">
        <w:r>
          <w:rPr>
            <w:rFonts w:ascii="Arial" w:hAnsi="Arial" w:eastAsia="Arial" w:cs="Arial"/>
            <w:color w:val="155CAA"/>
            <w:u w:val="single"/>
          </w:rPr>
          <w:t xml:space="preserve">1 RV2024-108 Zienswijze scenario's aanpassing verhouding vast en variabel tarief afvalstoffenheffing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4"/>
      <w:r w:rsidRPr="00A448AC">
        <w:rPr>
          <w:rFonts w:ascii="Arial" w:hAnsi="Arial" w:cs="Arial"/>
          <w:b/>
          <w:bCs/>
          <w:color w:val="303F4C"/>
          <w:lang w:val="en-US"/>
        </w:rPr>
        <w:t>RV2024-108 Zienswijze scenario's aanpassing verhouding vast en variabel tarief afvalstoffenheffing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RB2024-108-Zienswijze-scenarios-aanpassing-tarief-afvalstoffenheffing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RV2024-108-Zienswijze-scenarios-aanpassing-tarief-afvalstoffenheffing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RV2024-108-Bijlage-1-Concept-brief-zienswijze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RV2024-108-Bijlage-2-Aanbiedingsbrief-Avri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RV2024-108-Bijlage-3-Voorstel-Algemeen-Bestuur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RV2024-108-Bijlage-4-Memo-vast-variabel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4-108-Zienswijze-scenarios-aanpassing-tarief-afvalstoffenheffing-1.pdf" TargetMode="External" /><Relationship Id="rId25" Type="http://schemas.openxmlformats.org/officeDocument/2006/relationships/hyperlink" Target="https://gemeenteraad.westbetuwe.nl//Raadsinformatie/RV2024-108-Zienswijze-scenarios-aanpassing-tarief-afvalstoffenheffing-1.pdf" TargetMode="External" /><Relationship Id="rId26" Type="http://schemas.openxmlformats.org/officeDocument/2006/relationships/hyperlink" Target="https://gemeenteraad.westbetuwe.nl//Raadsinformatie/RV2024-108-Bijlage-1-Concept-brief-zienswijze.pdf" TargetMode="External" /><Relationship Id="rId27" Type="http://schemas.openxmlformats.org/officeDocument/2006/relationships/hyperlink" Target="https://gemeenteraad.westbetuwe.nl//Raadsinformatie/RV2024-108-Bijlage-2-Aanbiedingsbrief-Avri.pdf" TargetMode="External" /><Relationship Id="rId28" Type="http://schemas.openxmlformats.org/officeDocument/2006/relationships/hyperlink" Target="https://gemeenteraad.westbetuwe.nl//Raadsinformatie/RV2024-108-Bijlage-3-Voorstel-Algemeen-Bestuur.pdf" TargetMode="External" /><Relationship Id="rId29" Type="http://schemas.openxmlformats.org/officeDocument/2006/relationships/hyperlink" Target="https://gemeenteraad.westbetuwe.nl//Raadsinformatie/RV2024-108-Bijlage-4-Memo-vast-variab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