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9" text:style-name="Internet_20_link" text:visited-style-name="Visited_20_Internet_20_Link">
              <text:span text:style-name="ListLabel_20_28">
                <text:span text:style-name="T8">1 RV2024-085 Jaarrekening 2023 en begroting 2025 Bedrijfsvoeringsorganisatie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9"/>
        RV2024-085 Jaarrekening 2023 en begroting 2025 Bedrijfsvoeringsorganisatie West Betuwe
        <text:bookmark-end text:name="1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22-05-2024 14:47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RB2028-085-Jaarrekening-2023-en-begroting-2025-Bedrijfsvoeringsorganisatie-West-Betuwe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8-085-Jaarrekening-2023-en-begroting-2025-Bedrijfsvoeringsorganisatie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RV2028-085-Jaarrekening-2023-en-begroting-2025-Bedrijfsvoeringsorganisatie-West-Betuwe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8-085-Jaarrekening-2023-en-begroting-2025-Bedrijfsvoeringsorganisatie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RV2024-085-Bijlage-1-Ontwerp-programmabegroting-2025-2028-BWB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5-Bijlage-1-Ontwerp-programmabegroting-2025-2028-BW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RV2024-085-Bijlage-2-Concept-jaarstukken-2023-BWB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868,66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5-Bijlage-2-Concept-jaarstukken-2023-BW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RV2024-085-Bijlage-Concept-zienswijze-brief-BWB-geanonimiseerd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5-Bijlage-Concept-zienswijze-brief-BW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8" meta:character-count="898" meta:non-whitespace-character-count="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