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24" text:style-name="Internet_20_link" text:visited-style-name="Visited_20_Internet_20_Link">
              <text:span text:style-name="ListLabel_20_28">
                <text:span text:style-name="T8">1 RV2024-016-Wijziging-centrumregeling-beschermd-wonen-en-maatschappelijke-zorg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24"/>
        RV2024-016-Wijziging-centrumregeling-beschermd-wonen-en-maatschappelijke-zorg
        <text:bookmark-end text:name="18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31-01-2024 17:29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RV2024-016-Wijziging-centrumregeling-beschermd-wonen-en-maatschappelijke-zorg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6-Wijziging-centrumregeling-beschermd-wonen-en-maatschappelijke-zor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RB2024-016-Wijziging-centrumregeling-beschermd-wonen-en-maatschappelijke-zorg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16-Wijziging-centrumregeling-beschermd-wonen-en-maatschappelijke-zor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RV2024-016-Bijlage1-Onderbouwing-wijzigingen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6-Bijlage1-Onderbouwing-wijz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RV2024-016-Bijlage2-Geconsolideerde-regeling-met-wijzigingen-zichtbaar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200,96 KB
            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6-Bijlage2-Geconsolideerde-regeling-met-wijzigingen-zicht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RV2024-016-Bijlage3-Concept-wijzigingsbesluit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6-Bijlage3-Concept-wijzigingsbeslu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RV2024-016-Bijlage4-Conceptbrief-positieve-zienswijze-geanonimiseerd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6-Bijlage4-Conceptbrief-positieve-zienswijze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79" meta:character-count="946" meta:non-whitespace-character-count="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