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31" text:style-name="Internet_20_link" text:visited-style-name="Visited_20_Internet_20_Link">
              <text:span text:style-name="ListLabel_20_28">
                <text:span text:style-name="T8">1 RV2023-119-Uniformering-regelingen-en-afspraken-dorpshuizen-en-MFC-met-sportvoorziening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31"/>
        RV2023-119-Uniformering-regelingen-en-afspraken-dorpshuizen-en-MFC-met-sportvoorziening
        <text:bookmark-end text:name="17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03-02-2025 14:15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RV2023-119-Regelingen-en-afspraken-dorpshuizen-en-MFC-met-sportvoorziening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19-Regelingen-en-afspraken-dorpshuizen-en-MFC-met-sport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RB2023-119-Besluit-Regelingen-en-afspraken-dorpshuizen-en-MFC-met-sportvoorziening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19-Besluit-Regelingen-en-afspraken-dorpshuizen-en-MFC-met-sport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1" meta:character-count="619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