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22" text:style-name="Internet_20_link" text:visited-style-name="Visited_20_Internet_20_Link">
              <text:span text:style-name="ListLabel_20_28">
                <text:span text:style-name="T8">1 RV2023-107-Gezamenlijk-Inkoop-en-aanbestedingsbeleid-2024-2027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22"/>
        RV2023-107-Gezamenlijk-Inkoop-en-aanbestedingsbeleid-2024-2027
        <text:bookmark-end text:name="17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03-02-2025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RV2023-107-Gezamenlijk-Inkoop-en-aanbestedingsbeleid-2024-2027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07-Gezamenlijk-Inkoop-en-aanbestedingsbeleid-2024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RB2023-107-Besluit-Gezamenlijk-Inkoop-en-aanbestedingsbeleid-2024-2027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107-Besluit-Gezamenlijk-Inkoop-en-aanbestedingsbeleid-2024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RV2023-107-Bijlage-Inkoop-en-aanbestedingsbeleid-2024-2027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07-Bijlage-Inkoop-en-aanbestedingsbeleid-2024-20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58" meta:character-count="632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