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06" text:style-name="Internet_20_link" text:visited-style-name="Visited_20_Internet_20_Link">
              <text:span text:style-name="ListLabel_20_28">
                <text:span text:style-name="T8">1 RV2023-006 Verordening kwijtschelding gemeentelijke belastingen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6"/>
        RV2023-006 Verordening kwijtschelding gemeentelijke belastingen 2023
        <text:bookmark-end text:name="9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03-08-2023 12:50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RV2023-006-verordening-kwijtschelding-gemeentelijke-belastingen-2023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06-verordening-kwijtschelding-gemeentelijke-belastingen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RV2023-006 bijlage stcrt-2022-23803 regeling minister verruiming kwijtscheldingsnorm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06-bijlage-stcrt-2022-23803-regeling-minister-verruiming-kwijtscheldingsnor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RV2023-006-bijlage-BSR-vergelijk-vrijgesteld-vermogen-2022-en-2023.xlsx
              <text:span text:style-name="T3"/>
            </text:p>
            <text:p text:style-name="P7"/>
          </table:table-cell>
          <table:table-cell table:style-name="Table4.A2" office:value-type="string">
            <text:p text:style-name="P8">16-01-2023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06-bijlage-BSR-vergelijk-vrijgesteld-vermogen-2022-en-2023-xls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RV2023-006-Raadsbesluit-verordening-kwijtschelding-gemeentelijke-belastingen-2023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06-Raadsbesluit-verordening-kwijtschelding-gemeentelijke-belasting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81" meta:character-count="790" meta:non-whitespace-character-count="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