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9" w:history="1">
        <w:r>
          <w:rPr>
            <w:rFonts w:ascii="Arial" w:hAnsi="Arial" w:eastAsia="Arial" w:cs="Arial"/>
            <w:color w:val="155CAA"/>
            <w:u w:val="single"/>
          </w:rPr>
          <w:t xml:space="preserve">1 RV2022-114 Verordening Nadeelcompensatie WB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9"/>
      <w:r w:rsidRPr="00A448AC">
        <w:rPr>
          <w:rFonts w:ascii="Arial" w:hAnsi="Arial" w:cs="Arial"/>
          <w:b/>
          <w:bCs/>
          <w:color w:val="303F4C"/>
          <w:lang w:val="en-US"/>
        </w:rPr>
        <w:t>RV2022-114 Verordening Nadeelcompensatie WB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 09:29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RV2022-114-verordening-nadeelcompensatie--gemeente-West-Betuwe-2022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14-Verordening-Nadeelcompensatie-Gemeente-West-Betuwe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