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22:32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79" text:style-name="Internet_20_link" text:visited-style-name="Visited_20_Internet_20_Link">
              <text:span text:style-name="ListLabel_20_28">
                <text:span text:style-name="T8">1 RV2022-114 Verordening Nadeelcompensatie WB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79"/>
        RV2022-114 Verordening Nadeelcompensatie WB 2022
        <text:bookmark-end text:name="7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25-08-2022 09:29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RV2022-114-verordening-nadeelcompensatie--gemeente-West-Betuwe-2022
              <text:span text:style-name="T3"/>
            </text:p>
            <text:p text:style-name="P7"/>
          </table:table-cell>
          <table:table-cell table:style-name="Table4.A2" office:value-type="string">
            <text:p text:style-name="P8">25-08-2022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143,70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2-114-Verordening-Nadeelcompensatie-Gemeente-West-Betuwe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22" meta:non-whitespace-character-count="3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