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4" w:history="1">
        <w:r>
          <w:rPr>
            <w:rFonts w:ascii="Arial" w:hAnsi="Arial" w:eastAsia="Arial" w:cs="Arial"/>
            <w:color w:val="155CAA"/>
            <w:u w:val="single"/>
          </w:rPr>
          <w:t xml:space="preserve">1 RV2022-099 Tweede wijziging Algemene plaatselijke verordening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4"/>
      <w:r w:rsidRPr="00A448AC">
        <w:rPr>
          <w:rFonts w:ascii="Arial" w:hAnsi="Arial" w:cs="Arial"/>
          <w:b/>
          <w:bCs/>
          <w:color w:val="303F4C"/>
          <w:lang w:val="en-US"/>
        </w:rPr>
        <w:t>RV2022-099 Tweede wijziging Algemene plaatselijke 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RV2022-099 2e wijziging APV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raad-31-05-2022-besluit-099;-2e-wijziging-apv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99-2e-wijziging-APV-West-Betuwe.pdf" TargetMode="External" /><Relationship Id="rId25" Type="http://schemas.openxmlformats.org/officeDocument/2006/relationships/hyperlink" Target="https://gemeenteraad.westbetuwe.nl//Raadsinformatie/raad-31-05-2022-besluit-099-2e-wijzig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