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09:17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69" text:style-name="Internet_20_link" text:visited-style-name="Visited_20_Internet_20_Link">
              <text:span text:style-name="ListLabel_20_28">
                <text:span text:style-name="T8">1 RV2022-080 benoeming van de onderzoekscommissie geloofsbrieven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69"/>
        RV2022-080 benoeming van de onderzoekscommissie geloofsbrieven
        <text:bookmark-end text:name="6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18-05-2022 18:33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RV2022-080 benoemen onderzoekscommissie geloofsbrieven
              <text:span text:style-name="T3"/>
            </text:p>
            <text:p text:style-name="P7"/>
          </table:table-cell>
          <table:table-cell table:style-name="Table4.A2" office:value-type="string">
            <text:p text:style-name="P8">25-04-2022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64,79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2/26-april/20:00/RV2022-080-benoemen-onderzoekscommissie-geloofsbrie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 26-04-2022 Besluit 080; Instellen cie onderzoek geloofsbrieven
              <text:span text:style-name="T3"/>
            </text:p>
            <text:p text:style-name="P7"/>
          </table:table-cell>
          <table:table-cell table:style-name="Table4.A2" office:value-type="string">
            <text:p text:style-name="P8">16-05-2022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36,45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2/26-april/20:00/Raad-26-04-2022-Besluit-080-Instellen-cie-onderzoek-geloofsbrie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1" meta:character-count="533" meta:non-whitespace-character-count="4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