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72" text:style-name="Internet_20_link" text:visited-style-name="Visited_20_Internet_20_Link">
              <text:span text:style-name="ListLabel_20_28">
                <text:span text:style-name="T8">1 RV2020-143 Geldend verklaren Winkeltijdenverordening Geldermalsen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72"/>
        RV2020-143 Geldend verklaren Winkeltijdenverordening Geldermalsen 2014
        <text:bookmark-end text:name="15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RV143 Geldend verklaren Winkeltijdenverordening Geldermalsen 2014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143-Geldend-verklaren-Winkeltijdenverordening-Geldermalsen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RV143 Bijlage Winkeltijdenverordening gemeente Geldermalsen 2014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143-Bijlage-Winkeltijdenverordening-gemeente-Geldermalsen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59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