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9" w:history="1">
        <w:r>
          <w:rPr>
            <w:rFonts w:ascii="Arial" w:hAnsi="Arial" w:eastAsia="Arial" w:cs="Arial"/>
            <w:color w:val="155CAA"/>
            <w:u w:val="single"/>
          </w:rPr>
          <w:t xml:space="preserve">1 RV2020-114 Eerste wijziging verordening precariobelasting standplaatsen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9"/>
      <w:r w:rsidRPr="00A448AC">
        <w:rPr>
          <w:rFonts w:ascii="Arial" w:hAnsi="Arial" w:cs="Arial"/>
          <w:b/>
          <w:bCs/>
          <w:color w:val="303F4C"/>
          <w:lang w:val="en-US"/>
        </w:rPr>
        <w:t>RV2020-114 Eerste wijziging verordening precariobelasting standplaatsen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RV2020-114 1e wijz verordening prec standplaatsen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14-1e-wijz-verordening-prec-standplaatse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