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49" text:style-name="Internet_20_link" text:visited-style-name="Visited_20_Internet_20_Link">
              <text:span text:style-name="ListLabel_20_28">
                <text:span text:style-name="T8">1 RV2020-114 Eerste wijziging verordening precariobelasting standplaatsen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49"/>
        RV2020-114 Eerste wijziging verordening precariobelasting standplaatsen 2020
        <text:bookmark-end text:name="15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RV2020-114 1e wijz verordening prec standplaatsen 2020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281,47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14-1e-wijz-verordening-prec-standplaatsen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65" meta:non-whitespace-character-count="4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