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39" text:style-name="Internet_20_link" text:visited-style-name="Visited_20_Internet_20_Link">
              <text:span text:style-name="ListLabel_20_28">
                <text:span text:style-name="T8">1 RV2020-104 gedragscode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9"/>
        RV2020-104 gedragscode West Betuwe
        <text:bookmark-end text:name="15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RV2020-104 Gedragscode raads- en burgerleden 
              <text:s/>
              2020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04-Gedragscode-raads-en-burgerleden-2020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Toelichting Gedragscode raad West Betuwe versie september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Overige-informatie/Toelichting-Gedragscode-raad-West-Betuwe-versie-sept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toelichting Gedragscode raad WB 2020 -voorbeelden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126,81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Bijlage-1-toelichting-Gedragscode-raad-WB-2020-voorbeel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 toelichting Gedragdscode raad W2020 -beoordelingsproces Integriteit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Bijlage-2-toelichting-Gedragdscode-raad-W2020-beoordelingsproces-Integritei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9" meta:character-count="679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