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6" text:style-name="Internet_20_link" text:visited-style-name="Visited_20_Internet_20_Link">
              <text:span text:style-name="ListLabel_20_28">
                <text:span text:style-name="T8">1 RV2020-013 Kadernota Cultuur en Kunst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6"/>
        RV2020-013 Kadernota Cultuur en Kunst
        <text:bookmark-end text:name="14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RV2020-013 Kadernota Cultuur en Kunst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220,21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04-februari/20:00/RV2020-013-Kadernota-Cultuur-en-Kunst-202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Kadernota Cultuur en Kunst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04-februari/20:00/Kadernota-Cultuur-en-Kunst-2020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445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