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3" text:style-name="Internet_20_link" text:visited-style-name="Visited_20_Internet_20_Link">
              <text:span text:style-name="ListLabel_20_28">
                <text:span text:style-name="T8">1 RV2019-079 Vaststellen WaterRioleringsbeleidsPlan 2019-2023 (WRP)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3"/>
        RV2019-079 Vaststellen WaterRioleringsbeleidsPlan 2019-2023 (WRP)
        <text:bookmark-end text:name="12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11:32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WRP 2019 tm 2023 def 3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395,75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Raadsvoorstel-WRP-2019-tm-2023-def-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WRP_WestBetuwe_2019-2023 (083763436-C)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3,63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WRP-WestBetuwe-2019-2023-083763436-C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vragen raad WRP
              <text:span text:style-name="T3"/>
            </text:p>
            <text:p text:style-name="P7"/>
          </table:table-cell>
          <table:table-cell table:style-name="Table5.A2" office:value-type="string">
            <text:p text:style-name="P8">17-06-2019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228,53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Beantwoording-vragen-raad-WR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amendement VWB -tarief rioolrecht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106,87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Bijlage-amendement-VWB-tarief-riool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Raad 25-06-2019 geamendeerd besluit 27; WaterRioleringsbeleidsPlan 2019-2023 WB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35,49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Raad-25-06-2019-Besluit-27-WaterRioleringsbeleidsPlan-2019-2023-W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Raad 25-06-2019; AANGENOMEN amendement VWB trendmatige stijging tarief rioolheffing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85,38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Raad-25-06-2019-AANGENOMEN-amendement-VWB-trendmatige-stijging-tarief-rioolheff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" meta:object-count="0" meta:page-count="2" meta:paragraph-count="62" meta:word-count="122" meta:character-count="910" meta:non-whitespace-character-count="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