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3" text:style-name="Internet_20_link" text:visited-style-name="Visited_20_Internet_20_Link">
              <text:span text:style-name="ListLabel_20_28">
                <text:span text:style-name="T8">1 RV2019-053 Vaststellen profielschets voor een nieuwe burgemeester van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3"/>
        RV2019-053 Vaststellen profielschets voor een nieuwe burgemeester van West Betuwe
        <text:bookmark-end text:name="1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25-04-2019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15-05-2023 12:13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Profielschets burgemeester West Betuwe 2019 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11-04-2019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14,75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april/19:00/Profielschets-burgemeester-West-Betuwe-2019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Notitie uitleg verwerking inwonersraadpleging West Betuwe 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11-04-2019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april/19:00/Notitie-uitleg-verwerking-inwonersraadpleging-West-Betuwe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Eindresultaten enquete burgemeester West Betuwe Definitief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11-04-2019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april/19:00/Eindresultaten-enquete-burgemeester-West-Betuwe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Voorstel en besluit profielschets burgemeester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11-04-2019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april/19:00/Voorstel-en-besluit-profielschets-burgemeester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111" meta:character-count="813" meta:non-whitespace-character-count="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