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7" w:history="1">
        <w:r>
          <w:rPr>
            <w:rFonts w:ascii="Arial" w:hAnsi="Arial" w:eastAsia="Arial" w:cs="Arial"/>
            <w:color w:val="155CAA"/>
            <w:u w:val="single"/>
          </w:rPr>
          <w:t xml:space="preserve">1 RV2019-009 Financiële verordening WB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7"/>
      <w:r w:rsidRPr="00A448AC">
        <w:rPr>
          <w:rFonts w:ascii="Arial" w:hAnsi="Arial" w:cs="Arial"/>
          <w:b/>
          <w:bCs/>
          <w:color w:val="303F4C"/>
          <w:lang w:val="en-US"/>
        </w:rPr>
        <w:t>RV2019-009 Financiële verordening WB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Raadsvoorstel financiële verordening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Financiele verordening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5-Raadsvoorstel-financiele-verordening-WB-2019.pdf" TargetMode="External" /><Relationship Id="rId25" Type="http://schemas.openxmlformats.org/officeDocument/2006/relationships/hyperlink" Target="https://gemeenteraad.westbetuwe.nl//Vergaderingen/Gemeenteraad/2019/02-januari/19:00/15-Financiele-verordening-WB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