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7" text:style-name="Internet_20_link" text:visited-style-name="Visited_20_Internet_20_Link">
              <text:span text:style-name="ListLabel_20_28">
                <text:span text:style-name="T8">1 RV2019-009 Financiële verordening WB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7"/>
        RV2019-009 Financiële verordening WB 2019
        <text:bookmark-end text:name="11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02-01-2019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08-05-2023 13:41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 Raadsvoorstel financiële verordening WB 2019
              <text:span text:style-name="T3"/>
            </text:p>
            <text:p text:style-name="P7"/>
          </table:table-cell>
          <table:table-cell table:style-name="Table5.A2" office:value-type="string">
            <text:p text:style-name="P8">13-12-2018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anuari/19:00/15-Raadsvoorstel-financiele-verordening-WB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 Financiele verordening WB 2019
              <text:span text:style-name="T3"/>
            </text:p>
            <text:p text:style-name="P7"/>
          </table:table-cell>
          <table:table-cell table:style-name="Table5.A2" office:value-type="string">
            <text:p text:style-name="P8">13-12-2018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277,42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anuari/19:00/15-Financiele-verordening-WB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4" meta:character-count="516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