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9" w:history="1">
        <w:r>
          <w:rPr>
            <w:rFonts w:ascii="Arial" w:hAnsi="Arial" w:eastAsia="Arial" w:cs="Arial"/>
            <w:color w:val="155CAA"/>
            <w:u w:val="single"/>
          </w:rPr>
          <w:t xml:space="preserve">1 2025/IN102 Kwartaalrapportages verbonden partijen Q4 2024, Q1 2025 en Q2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9"/>
      <w:r w:rsidRPr="00A448AC">
        <w:rPr>
          <w:rFonts w:ascii="Arial" w:hAnsi="Arial" w:cs="Arial"/>
          <w:b/>
          <w:bCs/>
          <w:color w:val="303F4C"/>
          <w:lang w:val="en-US"/>
        </w:rPr>
        <w:t>2025/IN102 Kwartaalrapportages verbonden partijen Q4 2024, Q1 2025 en Q2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IN102-kwartaalrapportages-verbonden-partijen-Q4-2024-Q1-2025-en-Q2-2025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02-kwartaalrapportages-verbonden-partijen-Q4-2024-Q1-2025-en-Q2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