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7" w:history="1">
        <w:r>
          <w:rPr>
            <w:rFonts w:ascii="Arial" w:hAnsi="Arial" w:eastAsia="Arial" w:cs="Arial"/>
            <w:color w:val="155CAA"/>
            <w:u w:val="single"/>
          </w:rPr>
          <w:t xml:space="preserve">1 2025/IN100 Principemedewerking en adviesrecht realisatie acht sociale huurwoningen Meester van Daalenstraat ong. te Varik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7"/>
      <w:r w:rsidRPr="00A448AC">
        <w:rPr>
          <w:rFonts w:ascii="Arial" w:hAnsi="Arial" w:cs="Arial"/>
          <w:b/>
          <w:bCs/>
          <w:color w:val="303F4C"/>
          <w:lang w:val="en-US"/>
        </w:rPr>
        <w:t>2025/IN100 Principemedewerking en adviesrecht realisatie acht sociale huurwoningen Meester van Daalenstraat ong. te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IN100-principemedewerking-en-adviesrecht-realisatie-sociale-huurwoningen-te-varik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0-principemedewerking-en-adviesrecht-realisatie-sociale-huurwoningen-te-var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