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87" text:style-name="Internet_20_link" text:visited-style-name="Visited_20_Internet_20_Link">
              <text:span text:style-name="ListLabel_20_28">
                <text:span text:style-name="T8">1 2025/IN100 Principemedewerking en adviesrecht realisatie acht sociale huurwoningen Meester van Daalenstraat ong. te Varik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7"/>
        2025/IN100 Principemedewerking en adviesrecht realisatie acht sociale huurwoningen Meester van Daalenstraat ong. te Varik
        <text:bookmark-end text:name="24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30-09-2025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11-09-2025 10:21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IN100-principemedewerking-en-adviesrecht-realisatie-sociale-huurwoningen-te-varik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73,68 KB</text:p>
          </table:table-cell>
          <table:table-cell table:style-name="Table5.A2" office:value-type="string">
            <text:p text:style-name="P33">
              <text:a xlink:type="simple" xlink:href="https://gemeenteraad.westbetuwe.nl//Raadsinformatie/IN100-principemedewerking-en-adviesrecht-realisatie-sociale-huurwoningen-te-var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4" meta:character-count="637" meta:non-whitespace-character-count="5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