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3" w:history="1">
        <w:r>
          <w:rPr>
            <w:rFonts w:ascii="Arial" w:hAnsi="Arial" w:eastAsia="Arial" w:cs="Arial"/>
            <w:color w:val="155CAA"/>
            <w:u w:val="single"/>
          </w:rPr>
          <w:t xml:space="preserve">1 2025/IN081 Stand van zaken herontwikkeling Q. de Palmestraat en voormalige schoollocatie (De Zandheuvel) te Asperen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3"/>
      <w:r w:rsidRPr="00A448AC">
        <w:rPr>
          <w:rFonts w:ascii="Arial" w:hAnsi="Arial" w:cs="Arial"/>
          <w:b/>
          <w:bCs/>
          <w:color w:val="303F4C"/>
          <w:lang w:val="en-US"/>
        </w:rPr>
        <w:t>2025/IN081 Stand van zaken herontwikkeling Q. de Palmestraat en voormalige schoollocatie (De Zandheuvel) te Asperen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IN081-svz-herontwikkeling-q-de-palmestraat-en-voormalige-schoollocatie-asperen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81-svz-herontwikkeling-q-de-palmestraat-en-voormalige-schoollocatie-asp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