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701"/>
        <w:gridCol w:w="3859"/>
        <w:gridCol w:w="4060"/>
        <w:gridCol w:w="20"/>
      </w:tblGrid>
      <w:tr w:rsidR="00ED54C5" w:rsidRPr="00884214" w14:paraId="5EEC54A9" w14:textId="77777777" w:rsidTr="008231CE">
        <w:trPr>
          <w:trHeight w:val="127"/>
        </w:trPr>
        <w:tc>
          <w:tcPr>
            <w:tcW w:w="1701" w:type="dxa"/>
            <w:vMerge w:val="restart"/>
            <w:vAlign w:val="bottom"/>
          </w:tcPr>
          <w:p w14:paraId="7A2D6349" w14:textId="4559E777" w:rsidR="00ED54C5" w:rsidRPr="00884214" w:rsidRDefault="00ED54C5" w:rsidP="001C65E4">
            <w:pPr>
              <w:rPr>
                <w:rFonts w:ascii="Arial" w:hAnsi="Arial" w:cs="Arial"/>
                <w:sz w:val="18"/>
                <w:szCs w:val="18"/>
              </w:rPr>
            </w:pPr>
            <w:bookmarkStart w:id="0" w:name="_Hlk112835992"/>
            <w:r w:rsidRPr="00884214">
              <w:rPr>
                <w:rFonts w:ascii="Arial" w:hAnsi="Arial" w:cs="Arial"/>
                <w:sz w:val="18"/>
                <w:szCs w:val="18"/>
              </w:rPr>
              <w:t/>
              <w:pict>
                <v:shape type="#_x0000_t75" style="width:20mm;height:11.764705882353mm" stroked="f">
                  <v:imagedata r:id="rId17" o:title=""/>
                </v:shape>
              </w:pict>
              <w:t/>
            </w:r>
          </w:p>
        </w:tc>
        <w:tc>
          <w:tcPr>
            <w:tcW w:w="3859" w:type="dxa"/>
            <w:vMerge w:val="restart"/>
            <w:vAlign w:val="bottom"/>
          </w:tcPr>
          <w:p w14:paraId="34F7186B" w14:textId="329F0E40" w:rsidR="00ED54C5" w:rsidRPr="00884214" w:rsidRDefault="00ED54C5" w:rsidP="001C65E4">
            <w:pPr>
              <w:rPr>
                <w:rFonts w:ascii="Arial" w:hAnsi="Arial" w:cs="Arial"/>
                <w:sz w:val="20"/>
                <w:szCs w:val="20"/>
              </w:rPr>
            </w:pPr>
            <w:r w:rsidRPr="00884214">
              <w:rPr>
                <w:rFonts w:ascii="Arial" w:eastAsia="Arial" w:hAnsi="Arial" w:cs="Arial"/>
                <w:b/>
                <w:bCs/>
                <w:color w:val="525A65"/>
                <w:sz w:val="19"/>
                <w:szCs w:val="19"/>
              </w:rPr>
              <w:t>Gemeente West Betuwe</w:t>
            </w:r>
          </w:p>
        </w:tc>
        <w:tc>
          <w:tcPr>
            <w:tcW w:w="4060" w:type="dxa"/>
            <w:vAlign w:val="bottom"/>
          </w:tcPr>
          <w:p w14:paraId="067095FE" w14:textId="5CDEABAA" w:rsidR="00ED54C5" w:rsidRPr="00884214" w:rsidRDefault="00ED54C5" w:rsidP="001C65E4">
            <w:pPr>
              <w:jc w:val="right"/>
              <w:rPr>
                <w:rFonts w:ascii="Arial" w:hAnsi="Arial" w:cs="Arial"/>
                <w:sz w:val="20"/>
                <w:szCs w:val="20"/>
              </w:rPr>
            </w:pPr>
            <w:r w:rsidRPr="00884214">
              <w:rPr>
                <w:rFonts w:ascii="Arial" w:eastAsia="Arial" w:hAnsi="Arial" w:cs="Arial"/>
                <w:color w:val="A0AFB0"/>
                <w:sz w:val="10"/>
                <w:szCs w:val="10"/>
              </w:rPr>
              <w:t>Aangemaakt op:</w:t>
            </w:r>
          </w:p>
        </w:tc>
        <w:tc>
          <w:tcPr>
            <w:tcW w:w="20" w:type="dxa"/>
            <w:vAlign w:val="bottom"/>
          </w:tcPr>
          <w:p w14:paraId="2836F1F0" w14:textId="77777777" w:rsidR="00ED54C5" w:rsidRPr="00884214" w:rsidRDefault="00ED54C5" w:rsidP="001C65E4">
            <w:pPr>
              <w:rPr>
                <w:rFonts w:ascii="Arial" w:hAnsi="Arial" w:cs="Arial"/>
                <w:sz w:val="1"/>
                <w:szCs w:val="1"/>
              </w:rPr>
            </w:pPr>
          </w:p>
        </w:tc>
      </w:tr>
      <w:tr w:rsidR="00ED54C5" w:rsidRPr="00884214" w14:paraId="68F8BA49" w14:textId="77777777" w:rsidTr="008231CE">
        <w:trPr>
          <w:trHeight w:val="262"/>
        </w:trPr>
        <w:tc>
          <w:tcPr>
            <w:tcW w:w="1701" w:type="dxa"/>
            <w:vMerge/>
            <w:vAlign w:val="bottom"/>
          </w:tcPr>
          <w:p w14:paraId="2DC089EF" w14:textId="77777777" w:rsidR="00ED54C5" w:rsidRPr="00884214" w:rsidRDefault="00ED54C5" w:rsidP="001C65E4">
            <w:pPr>
              <w:rPr>
                <w:rFonts w:ascii="Arial" w:hAnsi="Arial" w:cs="Arial"/>
              </w:rPr>
            </w:pPr>
          </w:p>
        </w:tc>
        <w:tc>
          <w:tcPr>
            <w:tcW w:w="3859" w:type="dxa"/>
            <w:vMerge/>
            <w:vAlign w:val="bottom"/>
          </w:tcPr>
          <w:p w14:paraId="2B78B462" w14:textId="653E9AAB" w:rsidR="00ED54C5" w:rsidRPr="00884214" w:rsidRDefault="00ED54C5" w:rsidP="001C65E4">
            <w:pPr>
              <w:rPr>
                <w:rFonts w:ascii="Arial" w:hAnsi="Arial" w:cs="Arial"/>
              </w:rPr>
            </w:pPr>
          </w:p>
        </w:tc>
        <w:tc>
          <w:tcPr>
            <w:tcW w:w="4060" w:type="dxa"/>
            <w:vAlign w:val="bottom"/>
          </w:tcPr>
          <w:p w14:paraId="50ACD709" w14:textId="7950C809" w:rsidR="00ED54C5" w:rsidRPr="00884214" w:rsidRDefault="00ED54C5" w:rsidP="001C65E4">
            <w:pPr>
              <w:jc w:val="right"/>
              <w:rPr>
                <w:rFonts w:ascii="Arial" w:hAnsi="Arial" w:cs="Arial"/>
                <w:sz w:val="20"/>
                <w:szCs w:val="20"/>
              </w:rPr>
            </w:pPr>
            <w:r w:rsidRPr="00884214">
              <w:rPr>
                <w:rFonts w:ascii="Arial" w:eastAsia="Arial" w:hAnsi="Arial" w:cs="Arial"/>
                <w:b/>
                <w:bCs/>
                <w:color w:val="A0AFB0"/>
                <w:sz w:val="16"/>
                <w:szCs w:val="16"/>
              </w:rPr>
              <w:t>29-11-2025 04:05</w:t>
            </w:r>
          </w:p>
        </w:tc>
        <w:tc>
          <w:tcPr>
            <w:tcW w:w="20" w:type="dxa"/>
            <w:vAlign w:val="bottom"/>
          </w:tcPr>
          <w:p w14:paraId="11C26065" w14:textId="77777777" w:rsidR="00ED54C5" w:rsidRPr="00884214" w:rsidRDefault="00ED54C5" w:rsidP="001C65E4">
            <w:pPr>
              <w:rPr>
                <w:rFonts w:ascii="Arial" w:hAnsi="Arial" w:cs="Arial"/>
                <w:sz w:val="1"/>
                <w:szCs w:val="1"/>
              </w:rPr>
            </w:pPr>
          </w:p>
        </w:tc>
      </w:tr>
      <w:bookmarkEnd w:id="0"/>
    </w:tbl>
    <w:p w14:paraId="52D0F295" w14:textId="77777777" w:rsidR="003C09DE" w:rsidRPr="00884214" w:rsidRDefault="003C09DE" w:rsidP="003C09DE">
      <w:pPr>
        <w:spacing w:line="274" w:lineRule="exact"/>
        <w:rPr>
          <w:rFonts w:ascii="Arial" w:hAnsi="Arial" w:cs="Arial"/>
          <w:sz w:val="24"/>
          <w:szCs w:val="24"/>
        </w:rPr>
      </w:pPr>
    </w:p>
    <w:p w14:paraId="1279E36B" w14:textId="4CDCEF30" w:rsidR="003C09DE" w:rsidRPr="00884214" w:rsidRDefault="003C09DE" w:rsidP="003C09DE">
      <w:pPr>
        <w:spacing w:line="274" w:lineRule="exact"/>
        <w:rPr>
          <w:rFonts w:ascii="Arial" w:hAnsi="Arial" w:cs="Arial"/>
          <w:sz w:val="24"/>
          <w:szCs w:val="24"/>
        </w:rPr>
      </w:pPr>
      <w:r w:rsidRPr="00884214">
        <w:rPr>
          <w:rFonts w:ascii="Arial" w:hAnsi="Arial" w:cs="Arial"/>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tblGrid>
      <w:tr w:rsidR="004B7057" w:rsidRPr="00884214" w14:paraId="2B549366" w14:textId="77777777" w:rsidTr="001C65E4">
        <w:trPr>
          <w:trHeight w:val="446"/>
        </w:trPr>
        <w:tc>
          <w:tcPr>
            <w:tcW w:w="5560" w:type="dxa"/>
            <w:vAlign w:val="bottom"/>
          </w:tcPr>
          <w:p w14:paraId="5A4A41FA" w14:textId="01C4B3DF" w:rsidR="004B7057" w:rsidRPr="00884214" w:rsidRDefault="004B7057" w:rsidP="001C65E4">
            <w:pPr>
              <w:rPr>
                <w:rFonts w:ascii="Arial" w:hAnsi="Arial" w:cs="Arial"/>
                <w:sz w:val="20"/>
                <w:szCs w:val="20"/>
              </w:rPr>
            </w:pPr>
            <w:r w:rsidRPr="00884214">
              <w:rPr>
                <w:rFonts w:ascii="Arial" w:eastAsia="Arial" w:hAnsi="Arial" w:cs="Arial"/>
                <w:b/>
                <w:bCs/>
                <w:color w:val="525A65"/>
                <w:sz w:val="32"/>
                <w:szCs w:val="32"/>
              </w:rPr>
              <w:t>Raadsinformatienota’s </w:t>
            </w:r>
          </w:p>
        </w:tc>
      </w:tr>
      <w:tr w:rsidR="004B7057" w:rsidRPr="00F50C3D" w14:paraId="4008570C" w14:textId="77777777" w:rsidTr="001C65E4">
        <w:trPr>
          <w:trHeight w:val="192"/>
        </w:trPr>
        <w:tc>
          <w:tcPr>
            <w:tcW w:w="5560" w:type="dxa"/>
            <w:vAlign w:val="bottom"/>
          </w:tcPr>
          <w:p w14:paraId="2F356DA7" w14:textId="679301DC" w:rsidR="004B7057" w:rsidRPr="006F5070" w:rsidRDefault="004B7057"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Periode: 2025</w:t>
            </w:r>
          </w:p>
          <w:p w14:paraId="0DBB3236" w14:textId="08784764" w:rsidR="009E22BA" w:rsidRPr="006F5070" w:rsidRDefault="009E22BA"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
            </w:r>
          </w:p>
        </w:tc>
      </w:tr>
    </w:tbl>
    <w:p w14:paraId="1B004CF7" w14:textId="63EBD0DC" w:rsidR="003C09DE" w:rsidRPr="006F5070" w:rsidRDefault="003C09DE" w:rsidP="003C09DE">
      <w:pPr>
        <w:spacing w:line="20" w:lineRule="exact"/>
        <w:rPr>
          <w:rFonts w:ascii="Arial" w:hAnsi="Arial" w:cs="Arial"/>
          <w:sz w:val="24"/>
          <w:szCs w:val="24"/>
          <w:lang w:val="en-US"/>
        </w:rPr>
      </w:pPr>
    </w:p>
    <w:p w14:paraId="5DCCDC74" w14:textId="569AD034" w:rsidR="00FD2F5A" w:rsidRPr="006F5070" w:rsidRDefault="00FD2F5A" w:rsidP="003C09DE">
      <w:pPr>
        <w:spacing w:line="200" w:lineRule="exact"/>
        <w:rPr>
          <w:rFonts w:ascii="Arial" w:hAnsi="Arial" w:cs="Arial"/>
          <w:sz w:val="24"/>
          <w:szCs w:val="24"/>
          <w:lang w:val="en-US"/>
        </w:rPr>
      </w:pPr>
    </w:p>
    <w:p w14:paraId="0C3238C7" w14:textId="77777777" w:rsidR="00FD2F5A" w:rsidRPr="006F5070" w:rsidRDefault="00FD2F5A" w:rsidP="003C09DE">
      <w:pPr>
        <w:spacing w:line="200" w:lineRule="exact"/>
        <w:rPr>
          <w:rFonts w:ascii="Arial" w:hAnsi="Arial" w:cs="Arial"/>
          <w:sz w:val="24"/>
          <w:szCs w:val="24"/>
          <w:lang w:val="en-US"/>
        </w:rPr>
      </w:pPr>
    </w:p>
    <w:p w14:paraId="7FA0D1F4" w14:textId="77777777" w:rsidR="00C34DB7" w:rsidRPr="00C34DB7" w:rsidRDefault="00C34DB7" w:rsidP="00C34DB7">
      <w:pPr>
        <w:spacing w:line="360" w:lineRule="auto"/>
        <w:rPr>
          <w:rFonts w:ascii="Arial" w:hAnsi="Arial" w:cs="Arial"/>
          <w:sz w:val="20"/>
          <w:szCs w:val="20"/>
          <w:lang w:val="en-US"/>
        </w:rPr>
      </w:pPr>
      <w:r w:rsidRPr="00C34DB7">
        <w:rPr>
          <w:rFonts w:ascii="Arial" w:eastAsia="Arial" w:hAnsi="Arial" w:cs="Arial"/>
          <w:b/>
          <w:bCs/>
          <w:color w:val="303F4C"/>
          <w:sz w:val="32"/>
          <w:szCs w:val="32"/>
          <w:lang w:val="en-US"/>
        </w:rPr>
        <w:t>Index (1 onderwerp)</w:t>
      </w:r>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374" w:history="1">
        <w:r>
          <w:rPr>
            <w:rFonts w:ascii="Arial" w:hAnsi="Arial" w:eastAsia="Arial" w:cs="Arial"/>
            <w:color w:val="155CAA"/>
            <w:u w:val="single"/>
          </w:rPr>
          <w:t xml:space="preserve">1 2025/IN060 Onderzoek WO II: vervolgde Joodse inwoners, Roma en Sinti in de toenmalige West Betuwse gemeenten, wat er is gebeurd met hun bezittingen (vastgoed, landbezit en inboedels) en de rol van de toenmalige gemeenten daarbij</w:t>
        </w:r>
      </w:hyperlink>
    </w:p>
    <w:p w14:paraId="2303C106" w14:textId="77777777" w:rsidR="00C34DB7" w:rsidRPr="00884214" w:rsidRDefault="00C34DB7" w:rsidP="00C34DB7">
      <w:pPr>
        <w:spacing w:line="200" w:lineRule="exact"/>
        <w:rPr>
          <w:rFonts w:ascii="Arial" w:hAnsi="Arial" w:cs="Arial"/>
          <w:sz w:val="24"/>
          <w:szCs w:val="24"/>
        </w:rPr>
      </w:pPr>
      <w:r w:rsidRPr="00884214">
        <w:rPr>
          <w:rFonts w:ascii="Arial" w:hAnsi="Arial" w:cs="Arial"/>
          <w:sz w:val="24"/>
          <w:szCs w:val="24"/>
        </w:rPr>
        <w:t/>
      </w:r>
    </w:p>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374"/>
      <w:r w:rsidRPr="00A448AC">
        <w:rPr>
          <w:rFonts w:ascii="Arial" w:hAnsi="Arial" w:cs="Arial"/>
          <w:b/>
          <w:bCs/>
          <w:color w:val="303F4C"/>
          <w:lang w:val="en-US"/>
        </w:rPr>
        <w:t>2025/IN060 Onderzoek WO II: vervolgde Joodse inwoners, Roma en Sinti in de toenmalige West Betuwse gemeenten, wat er is gebeurd met hun bezittingen (vastgoed, landbezit en inboedels) en de rol van de toenmalige gemeenten daarbij</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26-05-2025 11:37</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IN060-onderzoek-WO-II</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26-05-2025</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54,03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 w:history="1">
                <w:r>
                  <w:rPr>
                    <w:rFonts w:ascii="Arial" w:hAnsi="Arial" w:eastAsia="Arial" w:cs="Arial"/>
                    <w:color w:val="155CAA"/>
                    <w:u w:val="single"/>
                  </w:rPr>
                  <w:t xml:space="preserve">Bekijk</w:t>
                </w:r>
              </w:hyperlink>
            </w:hyperlink>
          </w:p>
        </w:tc>
      </w:tr>
    </w:tbl>
    <w:p w14:paraId="09D00628" w14:textId="63A3422D" w:rsidR="006F5070" w:rsidRPr="006F5070" w:rsidRDefault="006F5070" w:rsidP="006F5070">
      <w:pPr>
        <w:rPr>
          <w:rFonts w:ascii="Arial" w:hAnsi="Arial" w:cs="Arial"/>
        </w:rPr>
      </w:pPr>
      <w:r w:rsidRPr="006F5070">
        <w:rPr>
          <w:rFonts w:ascii="Arial" w:hAnsi="Arial" w:cs="Arial"/>
        </w:rPr>
        <w:t/>
      </w:r>
    </w:p>
    <w:p w14:paraId="6B21414D" w14:textId="77777777" w:rsidR="00F50C3D" w:rsidRPr="00884214" w:rsidRDefault="00F50C3D">
      <w:pPr>
        <w:rPr>
          <w:rFonts w:ascii="Arial" w:hAnsi="Arial" w:cs="Arial"/>
        </w:rPr>
      </w:pPr>
    </w:p>
    <w:sectPr w:rsidR="00F50C3D" w:rsidRPr="00884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29B" w14:textId="77777777" w:rsidR="008942E5" w:rsidRDefault="008942E5" w:rsidP="003C09DE">
      <w:r>
        <w:separator/>
      </w:r>
    </w:p>
  </w:endnote>
  <w:endnote w:type="continuationSeparator" w:id="0">
    <w:p w14:paraId="7FD27501" w14:textId="77777777" w:rsidR="008942E5" w:rsidRDefault="008942E5"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DDF7" w14:textId="77777777" w:rsidR="008942E5" w:rsidRDefault="008942E5" w:rsidP="003C09DE">
      <w:r>
        <w:separator/>
      </w:r>
    </w:p>
  </w:footnote>
  <w:footnote w:type="continuationSeparator" w:id="0">
    <w:p w14:paraId="3DC00438" w14:textId="77777777" w:rsidR="008942E5" w:rsidRDefault="008942E5"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E10497"/>
    <w:multiLevelType w:val="hybridMultilevel"/>
    <w:tmpl w:val="4D1215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864263">
    <w:abstractNumId w:val="0"/>
  </w:num>
  <w:num w:numId="2" w16cid:durableId="152765639">
    <w:abstractNumId w:val="1"/>
  </w:num>
  <w:num w:numId="3" w16cid:durableId="203892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0009"/>
    <w:rsid w:val="000007BD"/>
    <w:rsid w:val="000040E5"/>
    <w:rsid w:val="00004692"/>
    <w:rsid w:val="00005606"/>
    <w:rsid w:val="000078AF"/>
    <w:rsid w:val="00015F99"/>
    <w:rsid w:val="00026C86"/>
    <w:rsid w:val="0005371E"/>
    <w:rsid w:val="000739BB"/>
    <w:rsid w:val="000B1944"/>
    <w:rsid w:val="000F5F94"/>
    <w:rsid w:val="000F61E2"/>
    <w:rsid w:val="00110F63"/>
    <w:rsid w:val="00124433"/>
    <w:rsid w:val="00132C1F"/>
    <w:rsid w:val="00136FC5"/>
    <w:rsid w:val="001A5FED"/>
    <w:rsid w:val="001B7B5F"/>
    <w:rsid w:val="001D680E"/>
    <w:rsid w:val="0021012D"/>
    <w:rsid w:val="00212A04"/>
    <w:rsid w:val="00234FEB"/>
    <w:rsid w:val="00240310"/>
    <w:rsid w:val="00240F26"/>
    <w:rsid w:val="00245E48"/>
    <w:rsid w:val="002556BC"/>
    <w:rsid w:val="00256368"/>
    <w:rsid w:val="00267076"/>
    <w:rsid w:val="00282875"/>
    <w:rsid w:val="00284C5B"/>
    <w:rsid w:val="002A5EEC"/>
    <w:rsid w:val="002D5E42"/>
    <w:rsid w:val="002E030F"/>
    <w:rsid w:val="002F2456"/>
    <w:rsid w:val="002F563C"/>
    <w:rsid w:val="003009CA"/>
    <w:rsid w:val="003511C8"/>
    <w:rsid w:val="00355554"/>
    <w:rsid w:val="00382FC1"/>
    <w:rsid w:val="003966BC"/>
    <w:rsid w:val="003B5BE5"/>
    <w:rsid w:val="003B734B"/>
    <w:rsid w:val="003C09DE"/>
    <w:rsid w:val="003C3EC0"/>
    <w:rsid w:val="003E37C4"/>
    <w:rsid w:val="00400146"/>
    <w:rsid w:val="004221F6"/>
    <w:rsid w:val="0044256E"/>
    <w:rsid w:val="00494A26"/>
    <w:rsid w:val="004B7057"/>
    <w:rsid w:val="004C5024"/>
    <w:rsid w:val="004D04EA"/>
    <w:rsid w:val="00505371"/>
    <w:rsid w:val="00521C69"/>
    <w:rsid w:val="005B49A0"/>
    <w:rsid w:val="005C2E97"/>
    <w:rsid w:val="005C647A"/>
    <w:rsid w:val="005D3CBC"/>
    <w:rsid w:val="00631E32"/>
    <w:rsid w:val="00646747"/>
    <w:rsid w:val="006752C0"/>
    <w:rsid w:val="006B1211"/>
    <w:rsid w:val="006C59F5"/>
    <w:rsid w:val="006F5070"/>
    <w:rsid w:val="00711D93"/>
    <w:rsid w:val="00714FDE"/>
    <w:rsid w:val="0072338B"/>
    <w:rsid w:val="007E53E4"/>
    <w:rsid w:val="007E6C35"/>
    <w:rsid w:val="00800F1E"/>
    <w:rsid w:val="0081169E"/>
    <w:rsid w:val="00815A66"/>
    <w:rsid w:val="008231CE"/>
    <w:rsid w:val="0083257B"/>
    <w:rsid w:val="00834F86"/>
    <w:rsid w:val="00847439"/>
    <w:rsid w:val="00855204"/>
    <w:rsid w:val="008679AE"/>
    <w:rsid w:val="00884214"/>
    <w:rsid w:val="00891512"/>
    <w:rsid w:val="008942E5"/>
    <w:rsid w:val="00897238"/>
    <w:rsid w:val="008B699C"/>
    <w:rsid w:val="008D52AE"/>
    <w:rsid w:val="008F4E9A"/>
    <w:rsid w:val="009125E8"/>
    <w:rsid w:val="00916DE2"/>
    <w:rsid w:val="00917E77"/>
    <w:rsid w:val="009207C9"/>
    <w:rsid w:val="00937CB1"/>
    <w:rsid w:val="00981E16"/>
    <w:rsid w:val="009A6D75"/>
    <w:rsid w:val="009C2B58"/>
    <w:rsid w:val="009D4E76"/>
    <w:rsid w:val="009E22BA"/>
    <w:rsid w:val="00A10402"/>
    <w:rsid w:val="00A128B2"/>
    <w:rsid w:val="00A167B1"/>
    <w:rsid w:val="00A30D03"/>
    <w:rsid w:val="00A448AC"/>
    <w:rsid w:val="00A8161F"/>
    <w:rsid w:val="00AB1D07"/>
    <w:rsid w:val="00AD7C9E"/>
    <w:rsid w:val="00B07C88"/>
    <w:rsid w:val="00B340B9"/>
    <w:rsid w:val="00B47072"/>
    <w:rsid w:val="00B506BD"/>
    <w:rsid w:val="00B51D88"/>
    <w:rsid w:val="00B63D34"/>
    <w:rsid w:val="00B85EBD"/>
    <w:rsid w:val="00BA7802"/>
    <w:rsid w:val="00BE0304"/>
    <w:rsid w:val="00BF5CD1"/>
    <w:rsid w:val="00BF6609"/>
    <w:rsid w:val="00C26314"/>
    <w:rsid w:val="00C34DB7"/>
    <w:rsid w:val="00C46AF1"/>
    <w:rsid w:val="00C76B5B"/>
    <w:rsid w:val="00C87E3F"/>
    <w:rsid w:val="00C905B9"/>
    <w:rsid w:val="00CA28E7"/>
    <w:rsid w:val="00CA5FA0"/>
    <w:rsid w:val="00CC78F2"/>
    <w:rsid w:val="00CE6370"/>
    <w:rsid w:val="00CF35F6"/>
    <w:rsid w:val="00D05F49"/>
    <w:rsid w:val="00D14FD1"/>
    <w:rsid w:val="00D570D6"/>
    <w:rsid w:val="00D65C6A"/>
    <w:rsid w:val="00D86BEC"/>
    <w:rsid w:val="00D96A1D"/>
    <w:rsid w:val="00DE4925"/>
    <w:rsid w:val="00DF1F9C"/>
    <w:rsid w:val="00E018B8"/>
    <w:rsid w:val="00E024C0"/>
    <w:rsid w:val="00E30B89"/>
    <w:rsid w:val="00E80FFE"/>
    <w:rsid w:val="00EA0826"/>
    <w:rsid w:val="00EA489F"/>
    <w:rsid w:val="00EB3AE2"/>
    <w:rsid w:val="00EB45A9"/>
    <w:rsid w:val="00ED54C5"/>
    <w:rsid w:val="00EF12A6"/>
    <w:rsid w:val="00F50C3D"/>
    <w:rsid w:val="00F53EB9"/>
    <w:rsid w:val="00F71A8A"/>
    <w:rsid w:val="00F775C1"/>
    <w:rsid w:val="00F909BC"/>
    <w:rsid w:val="00FB349D"/>
    <w:rsid w:val="00FD2F5A"/>
    <w:rsid w:val="00FD6426"/>
    <w:rsid w:val="00FF54A2"/>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DB7"/>
    <w:pPr>
      <w:spacing w:after="0" w:line="240" w:lineRule="auto"/>
    </w:pPr>
    <w:rPr>
      <w:rFonts w:ascii="Times New Roman" w:eastAsiaTheme="minorEastAsia" w:hAnsi="Times New Roman" w:cs="Times New Roman"/>
      <w:lang w:eastAsia="nl-NL"/>
    </w:rPr>
  </w:style>
  <w:style w:type="paragraph" w:styleId="Kop1">
    <w:name w:val="heading 1"/>
    <w:basedOn w:val="Standaard"/>
    <w:next w:val="Standaard"/>
    <w:link w:val="Kop1Char"/>
    <w:uiPriority w:val="9"/>
    <w:qFormat/>
    <w:rsid w:val="00A167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 w:type="table" w:styleId="Tabelraster">
    <w:name w:val="Table Grid"/>
    <w:basedOn w:val="Standaardtabel"/>
    <w:uiPriority w:val="39"/>
    <w:rsid w:val="00A1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67B1"/>
    <w:rPr>
      <w:rFonts w:asciiTheme="majorHAnsi" w:eastAsiaTheme="majorEastAsia" w:hAnsiTheme="majorHAnsi" w:cstheme="majorBidi"/>
      <w:color w:val="2F5496" w:themeColor="accent1" w:themeShade="BF"/>
      <w:sz w:val="32"/>
      <w:szCs w:val="32"/>
      <w:lang w:eastAsia="nl-NL"/>
    </w:rPr>
  </w:style>
  <w:style w:type="paragraph" w:styleId="Titel">
    <w:name w:val="Title"/>
    <w:basedOn w:val="Standaard"/>
    <w:next w:val="Standaard"/>
    <w:link w:val="TitelChar"/>
    <w:uiPriority w:val="10"/>
    <w:qFormat/>
    <w:rsid w:val="0085520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204"/>
    <w:rPr>
      <w:rFonts w:asciiTheme="majorHAnsi" w:eastAsiaTheme="majorEastAsia" w:hAnsiTheme="majorHAnsi" w:cstheme="majorBidi"/>
      <w:spacing w:val="-10"/>
      <w:kern w:val="28"/>
      <w:sz w:val="56"/>
      <w:szCs w:val="56"/>
      <w:lang w:eastAsia="nl-NL"/>
    </w:rPr>
  </w:style>
  <w:style w:type="paragraph" w:styleId="Kopvaninhoudsopgave">
    <w:name w:val="TOC Heading"/>
    <w:basedOn w:val="Kop1"/>
    <w:next w:val="Standaard"/>
    <w:uiPriority w:val="39"/>
    <w:unhideWhenUsed/>
    <w:qFormat/>
    <w:rsid w:val="00C46AF1"/>
    <w:pPr>
      <w:spacing w:line="259" w:lineRule="auto"/>
      <w:outlineLvl w:val="9"/>
    </w:pPr>
  </w:style>
  <w:style w:type="paragraph" w:styleId="Inhopg1">
    <w:name w:val="toc 1"/>
    <w:basedOn w:val="Standaard"/>
    <w:next w:val="Standaard"/>
    <w:autoRedefine/>
    <w:uiPriority w:val="39"/>
    <w:unhideWhenUsed/>
    <w:rsid w:val="00005606"/>
    <w:pPr>
      <w:spacing w:after="100"/>
    </w:pPr>
  </w:style>
  <w:style w:type="character" w:styleId="Hyperlink">
    <w:name w:val="Hyperlink"/>
    <w:basedOn w:val="Standaardalinea-lettertype"/>
    <w:uiPriority w:val="99"/>
    <w:unhideWhenUsed/>
    <w:rsid w:val="00005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54">
      <w:bodyDiv w:val="1"/>
      <w:marLeft w:val="0"/>
      <w:marRight w:val="0"/>
      <w:marTop w:val="0"/>
      <w:marBottom w:val="0"/>
      <w:divBdr>
        <w:top w:val="none" w:sz="0" w:space="0" w:color="auto"/>
        <w:left w:val="none" w:sz="0" w:space="0" w:color="auto"/>
        <w:bottom w:val="none" w:sz="0" w:space="0" w:color="auto"/>
        <w:right w:val="none" w:sz="0" w:space="0" w:color="auto"/>
      </w:divBdr>
    </w:div>
    <w:div w:id="116918295">
      <w:bodyDiv w:val="1"/>
      <w:marLeft w:val="0"/>
      <w:marRight w:val="0"/>
      <w:marTop w:val="0"/>
      <w:marBottom w:val="0"/>
      <w:divBdr>
        <w:top w:val="none" w:sz="0" w:space="0" w:color="auto"/>
        <w:left w:val="none" w:sz="0" w:space="0" w:color="auto"/>
        <w:bottom w:val="none" w:sz="0" w:space="0" w:color="auto"/>
        <w:right w:val="none" w:sz="0" w:space="0" w:color="auto"/>
      </w:divBdr>
    </w:div>
    <w:div w:id="150829217">
      <w:bodyDiv w:val="1"/>
      <w:marLeft w:val="0"/>
      <w:marRight w:val="0"/>
      <w:marTop w:val="0"/>
      <w:marBottom w:val="0"/>
      <w:divBdr>
        <w:top w:val="none" w:sz="0" w:space="0" w:color="auto"/>
        <w:left w:val="none" w:sz="0" w:space="0" w:color="auto"/>
        <w:bottom w:val="none" w:sz="0" w:space="0" w:color="auto"/>
        <w:right w:val="none" w:sz="0" w:space="0" w:color="auto"/>
      </w:divBdr>
    </w:div>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863247469">
      <w:bodyDiv w:val="1"/>
      <w:marLeft w:val="0"/>
      <w:marRight w:val="0"/>
      <w:marTop w:val="0"/>
      <w:marBottom w:val="0"/>
      <w:divBdr>
        <w:top w:val="none" w:sz="0" w:space="0" w:color="auto"/>
        <w:left w:val="none" w:sz="0" w:space="0" w:color="auto"/>
        <w:bottom w:val="none" w:sz="0" w:space="0" w:color="auto"/>
        <w:right w:val="none" w:sz="0" w:space="0" w:color="auto"/>
      </w:divBdr>
    </w:div>
    <w:div w:id="1168474013">
      <w:bodyDiv w:val="1"/>
      <w:marLeft w:val="0"/>
      <w:marRight w:val="0"/>
      <w:marTop w:val="0"/>
      <w:marBottom w:val="0"/>
      <w:divBdr>
        <w:top w:val="none" w:sz="0" w:space="0" w:color="auto"/>
        <w:left w:val="none" w:sz="0" w:space="0" w:color="auto"/>
        <w:bottom w:val="none" w:sz="0" w:space="0" w:color="auto"/>
        <w:right w:val="none" w:sz="0" w:space="0" w:color="auto"/>
      </w:divBdr>
    </w:div>
    <w:div w:id="1901138046">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17" Type="http://schemas.openxmlformats.org/officeDocument/2006/relationships/image" Target="media/image_rId17_document.png"/><Relationship Id="rId24" Type="http://schemas.openxmlformats.org/officeDocument/2006/relationships/hyperlink" Target="https://gemeenteraad.westbetuwe.nl//Raadsinformatie/IN060-onderzoek-WO-II.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F9BC-38AF-41ED-BFAC-C3DC2B5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2024-02-14T14:14:00Z</dcterms:modified>
</cp:coreProperties>
</file>