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2" w:history="1">
        <w:r>
          <w:rPr>
            <w:rFonts w:ascii="Arial" w:hAnsi="Arial" w:eastAsia="Arial" w:cs="Arial"/>
            <w:color w:val="155CAA"/>
            <w:u w:val="single"/>
          </w:rPr>
          <w:t xml:space="preserve">1 2025/IN044 Gevolgen stikstofuitspraken voor woningbouwprojecten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2"/>
      <w:r w:rsidRPr="00A448AC">
        <w:rPr>
          <w:rFonts w:ascii="Arial" w:hAnsi="Arial" w:cs="Arial"/>
          <w:b/>
          <w:bCs/>
          <w:color w:val="303F4C"/>
          <w:lang w:val="en-US"/>
        </w:rPr>
        <w:t>2025/IN044 Gevolgen stikstofuitspraken voor woningbouwprojecten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IN044-gevolgen-stikstofuitspraken-voor-woningbouwprojecten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4-gevolgen-stikstofuitspraken-voor-woningbouw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