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5" w:history="1">
        <w:r>
          <w:rPr>
            <w:rFonts w:ascii="Arial" w:hAnsi="Arial" w:eastAsia="Arial" w:cs="Arial"/>
            <w:color w:val="155CAA"/>
            <w:u w:val="single"/>
          </w:rPr>
          <w:t xml:space="preserve">1 2025/IN038 Tijdelijke stop cofinanciering provincie Toekomst Bestendig wonen leningen (TBW)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5"/>
      <w:r w:rsidRPr="00A448AC">
        <w:rPr>
          <w:rFonts w:ascii="Arial" w:hAnsi="Arial" w:cs="Arial"/>
          <w:b/>
          <w:bCs/>
          <w:color w:val="303F4C"/>
          <w:lang w:val="en-US"/>
        </w:rPr>
        <w:t>2025/IN038 Tijdelijke stop cofinanciering provincie Toekomst Bestendig wonen leningen (TBW)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 17:35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IN038-tijdelijke-stop-cofinanciering-provincie-toekomst-bestendig-wonen-gelderland-gemeente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8-tijdelijke-stop-cofinanciering-provincie-toekomst-bestendig-wonen-gelderland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