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02:46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98" text:style-name="Internet_20_link" text:visited-style-name="Visited_20_Internet_20_Link">
              <text:span text:style-name="ListLabel_20_28">
                <text:span text:style-name="T8">1 2025/IN034 uniformering beleid bij gymzalen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98"/>
        2025/IN034 uniformering beleid bij gymzalen
        <text:bookmark-end text:name="22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01-04-2025 12:37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IN034-uniformering-beleid-bij-gymzalen
              <text:span text:style-name="T3"/>
            </text:p>
            <text:p text:style-name="P7"/>
          </table:table-cell>
          <table:table-cell table:style-name="Table4.A2" office:value-type="string">
            <text:p text:style-name="P8">01-04-2025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78,98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34-uniformering-beleid-bij-gymza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IN034-bijlage-uniformering-van-regeling-rapport gymzalen
              <text:span text:style-name="T3"/>
            </text:p>
            <text:p text:style-name="P7"/>
          </table:table-cell>
          <table:table-cell table:style-name="Table4.A2" office:value-type="string">
            <text:p text:style-name="P8">01-04-2025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4.A2" office:value-type="string">
            <text:p text:style-name="P33">
              <text:a xlink:type="simple" xlink:href="https://gemeenteraad.westbetuwe.nl//Raadsinformatie/IN034-bijlage-uniformering-van-regeling-rapport-gymza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459" meta:non-whitespace-character-count="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