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11:20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96" text:style-name="Internet_20_link" text:visited-style-name="Visited_20_Internet_20_Link">
              <text:span text:style-name="ListLabel_20_28">
                <text:span text:style-name="T8">1 2025/IN033 Gezamenlijke controle zorgaanbieder Karakter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96"/>
        2025/IN033 Gezamenlijke controle zorgaanbieder Karakter
        <text:bookmark-end text:name="2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22-04-2025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31-03-2025 11:21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IN033-gezamenlijke-controle-zorgaanbieder-karakter
              <text:span text:style-name="T3"/>
            </text:p>
            <text:p text:style-name="P7"/>
          </table:table-cell>
          <table:table-cell table:style-name="Table5.A2" office:value-type="string">
            <text:p text:style-name="P8">31-03-2025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71,48 KB</text:p>
          </table:table-cell>
          <table:table-cell table:style-name="Table5.A2" office:value-type="string">
            <text:p text:style-name="P33">
              <text:a xlink:type="simple" xlink:href="https://gemeenteraad.westbetuwe.nl//Raadsinformatie/IN033-gezamenlijke-controle-zorgaanbieder-karakt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6" meta:character-count="474" meta:non-whitespace-character-count="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