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2" w:history="1">
        <w:r>
          <w:rPr>
            <w:rFonts w:ascii="Arial" w:hAnsi="Arial" w:eastAsia="Arial" w:cs="Arial"/>
            <w:color w:val="155CAA"/>
            <w:u w:val="single"/>
          </w:rPr>
          <w:t xml:space="preserve">1 2025/IN016 Resultaten van de verbeterde samenwerking tussen werkzaak en de gemeente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2"/>
      <w:r w:rsidRPr="00A448AC">
        <w:rPr>
          <w:rFonts w:ascii="Arial" w:hAnsi="Arial" w:cs="Arial"/>
          <w:b/>
          <w:bCs/>
          <w:color w:val="303F4C"/>
          <w:lang w:val="en-US"/>
        </w:rPr>
        <w:t>2025/IN016 Resultaten van de verbeterde samenwerking tussen werkzaak en de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IN016-Resultaten-van-de-verbeterde-samenwerking-tussen-werkzaak-en-de-gemeente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6-Resultaten-van-de-verbeterde-samenwerking-tussen-werkzaak-e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