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207" text:style-name="Internet_20_link" text:visited-style-name="Visited_20_Internet_20_Link">
          <text:span text:style-name="ListLabel_20_28">
            <text:span text:style-name="T8">1 2025/IN008 Tussenevaluatie speelruimtebeleid 2022-2026</text:span>
          </text:span>
        </text:a>
      </text:p>
      <text:list text:style-name="WW8Num1">
        <text:list-item>
          <text:p text:style-name="P2" loext:marker-style-name="T5">
            <text:a xlink:type="simple" xlink:href="#220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07"/>
        2025/IN008 Tussenevaluatie speelruimtebeleid 2022-2026
        <text:bookmark-end text:name="22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16-01-2025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IN008 Tussenevaluatie speelruimtebeleid 2022-2026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08-Tussenevaluatie-speelruimtebeleid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IN008-Bijlage-1-Uitkomsten-evaluatie-speelruimtebeleid-informatienota-evaluatie-speelruimtebeleid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08-Bijlage-1-Uitkomsten-evaluatie-speelruimtebeleid-informatienota-evaluatie-speelruimte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58" meta:character-count="535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