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3" w:history="1">
        <w:r>
          <w:rPr>
            <w:rFonts w:ascii="Arial" w:hAnsi="Arial" w:eastAsia="Arial" w:cs="Arial"/>
            <w:color w:val="155CAA"/>
            <w:u w:val="single"/>
          </w:rPr>
          <w:t xml:space="preserve">1 2024/IN116 Principemedewerking en adviesrecht raad woningbouw Lingedijk Geldermalsen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3"/>
      <w:r w:rsidRPr="00A448AC">
        <w:rPr>
          <w:rFonts w:ascii="Arial" w:hAnsi="Arial" w:cs="Arial"/>
          <w:b/>
          <w:bCs/>
          <w:color w:val="303F4C"/>
          <w:lang w:val="en-US"/>
        </w:rPr>
        <w:t>2024/IN116 Principemedewerking en adviesrecht raad woningbouw Lingedijk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IN116-Principemedewerking-en-adviesrecht-raad-woningbouw-lingedijk-geldermalsen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6-Principemedewerking-en-adviesrecht-raad-woningbouw-lingedijk-geldermal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