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16" w:history="1">
        <w:r>
          <w:rPr>
            <w:rFonts w:ascii="Arial" w:hAnsi="Arial" w:eastAsia="Arial" w:cs="Arial"/>
            <w:color w:val="155CAA"/>
            <w:u w:val="single"/>
          </w:rPr>
          <w:t xml:space="preserve">1 2024/IN112 Woningbouwmonitor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16"/>
      <w:r w:rsidRPr="00A448AC">
        <w:rPr>
          <w:rFonts w:ascii="Arial" w:hAnsi="Arial" w:cs="Arial"/>
          <w:b/>
          <w:bCs/>
          <w:color w:val="303F4C"/>
          <w:lang w:val="en-US"/>
        </w:rPr>
        <w:t>2024/IN112 Woningbouwmonitor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IN112-Woningbouwmonitor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12-Woningbouwmonito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