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07" w:history="1">
        <w:r>
          <w:rPr>
            <w:rFonts w:ascii="Arial" w:hAnsi="Arial" w:eastAsia="Arial" w:cs="Arial"/>
            <w:color w:val="155CAA"/>
            <w:u w:val="single"/>
          </w:rPr>
          <w:t xml:space="preserve">1 2024/IN107 principebesluit woningbouw vishandel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07"/>
      <w:r w:rsidRPr="00A448AC">
        <w:rPr>
          <w:rFonts w:ascii="Arial" w:hAnsi="Arial" w:cs="Arial"/>
          <w:b/>
          <w:bCs/>
          <w:color w:val="303F4C"/>
          <w:lang w:val="en-US"/>
        </w:rPr>
        <w:t>2024/IN107 principebesluit woningbouw vishandel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 12:03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IN107-principebesluit-woningbouw-vishandel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107-principebesluit-woningbouw-vishand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