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Raadsinformatienota’s 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076" w:history="1">
        <w:r>
          <w:rPr>
            <w:rFonts w:ascii="Arial" w:hAnsi="Arial" w:eastAsia="Arial" w:cs="Arial"/>
            <w:color w:val="155CAA"/>
            <w:u w:val="single"/>
          </w:rPr>
          <w:t xml:space="preserve">1 2024/IN099 Uitspraak Raad van State over handhavingsverzoek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076"/>
      <w:r w:rsidRPr="00A448AC">
        <w:rPr>
          <w:rFonts w:ascii="Arial" w:hAnsi="Arial" w:cs="Arial"/>
          <w:b/>
          <w:bCs/>
          <w:color w:val="303F4C"/>
          <w:lang w:val="en-US"/>
        </w:rPr>
        <w:t>2024/IN099 Uitspraak Raad van State over handhavingsverzoek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09-10-2024 11:54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IN099-Uitspraak-raad-van-state-over-handhavingsverzoek-verwijdering-staalslakken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IN099-bijlage-uitspraak-202304992-raad-van-state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126,66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IN099-Uitspraak-raad-van-state-over-handhavingsverzoek-verwijdering-staalslakken.pdf" TargetMode="External" /><Relationship Id="rId25" Type="http://schemas.openxmlformats.org/officeDocument/2006/relationships/hyperlink" Target="https://gemeenteraad.westbetuwe.nl//Raadsinformatie/IN099-bijlage-uitspraak-202304992-raad-van-stat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