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7" w:history="1">
        <w:r>
          <w:rPr>
            <w:rFonts w:ascii="Arial" w:hAnsi="Arial" w:eastAsia="Arial" w:cs="Arial"/>
            <w:color w:val="155CAA"/>
            <w:u w:val="single"/>
          </w:rPr>
          <w:t xml:space="preserve">1 2024/IN092 Raadsinformatienota N327 en Hondsgemet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7"/>
      <w:r w:rsidRPr="00A448AC">
        <w:rPr>
          <w:rFonts w:ascii="Arial" w:hAnsi="Arial" w:cs="Arial"/>
          <w:b/>
          <w:bCs/>
          <w:color w:val="303F4C"/>
          <w:lang w:val="en-US"/>
        </w:rPr>
        <w:t>2024/IN092 Raadsinformatienota N327 en Hondsgemet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IN092-Raadsinformatienota-N327-en-Hondsgemet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2-Raadsinformatienota-N327-en-Hondsgem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